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27" w:rsidRPr="00681DAC" w:rsidRDefault="00681DAC" w:rsidP="00681DAC">
      <w:pPr>
        <w:jc w:val="center"/>
        <w:rPr>
          <w:rFonts w:ascii="標楷體" w:eastAsia="標楷體" w:hAnsi="標楷體" w:hint="eastAsia"/>
          <w:sz w:val="40"/>
          <w:szCs w:val="40"/>
        </w:rPr>
      </w:pPr>
      <w:r w:rsidRPr="00681DAC">
        <w:rPr>
          <w:rFonts w:ascii="標楷體" w:eastAsia="標楷體" w:hAnsi="標楷體"/>
          <w:sz w:val="40"/>
          <w:szCs w:val="40"/>
        </w:rPr>
        <w:t>桃園市爆竹煙火施放管制自治條例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b/>
          <w:color w:val="000000"/>
        </w:rPr>
      </w:pPr>
      <w:r w:rsidRPr="00681DAC">
        <w:rPr>
          <w:rStyle w:val="a3"/>
          <w:rFonts w:ascii="標楷體" w:eastAsia="標楷體" w:hAnsi="標楷體" w:hint="eastAsia"/>
          <w:color w:val="000000"/>
        </w:rPr>
        <w:t>第 1 條</w:t>
      </w:r>
      <w:r w:rsidRPr="00681DAC">
        <w:rPr>
          <w:rFonts w:ascii="標楷體" w:eastAsia="標楷體" w:hAnsi="標楷體" w:hint="eastAsia"/>
          <w:color w:val="000000"/>
        </w:rPr>
        <w:br/>
        <w:t>本自治條例依爆竹煙火管理條例(以下簡稱本條例)第十七條規定制定</w:t>
      </w:r>
      <w:r w:rsidRPr="00681DAC">
        <w:rPr>
          <w:rFonts w:ascii="標楷體" w:eastAsia="標楷體" w:hAnsi="標楷體" w:hint="eastAsia"/>
          <w:b/>
          <w:color w:val="000000"/>
        </w:rPr>
        <w:t>之。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2 條</w:t>
      </w:r>
      <w:r w:rsidRPr="00681DAC">
        <w:rPr>
          <w:rFonts w:ascii="標楷體" w:eastAsia="標楷體" w:hAnsi="標楷體" w:hint="eastAsia"/>
          <w:color w:val="000000"/>
        </w:rPr>
        <w:br/>
        <w:t>桃園市爆竹煙火施放之管制除法令另有規定外，依本自治條例規定辦理。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3 條</w:t>
      </w:r>
      <w:r w:rsidRPr="00681DAC">
        <w:rPr>
          <w:rFonts w:ascii="標楷體" w:eastAsia="標楷體" w:hAnsi="標楷體" w:hint="eastAsia"/>
          <w:color w:val="000000"/>
        </w:rPr>
        <w:br/>
        <w:t>下列場所區域禁止施放爆竹煙火：</w:t>
      </w:r>
      <w:r w:rsidRPr="00681DAC">
        <w:rPr>
          <w:rFonts w:ascii="標楷體" w:eastAsia="標楷體" w:hAnsi="標楷體" w:hint="eastAsia"/>
          <w:color w:val="000000"/>
        </w:rPr>
        <w:br/>
        <w:t>一、工業區。</w:t>
      </w:r>
      <w:r w:rsidRPr="00681DAC">
        <w:rPr>
          <w:rFonts w:ascii="標楷體" w:eastAsia="標楷體" w:hAnsi="標楷體" w:hint="eastAsia"/>
          <w:color w:val="000000"/>
        </w:rPr>
        <w:br/>
        <w:t>二、國有林班地。</w:t>
      </w:r>
      <w:r w:rsidRPr="00681DAC">
        <w:rPr>
          <w:rFonts w:ascii="標楷體" w:eastAsia="標楷體" w:hAnsi="標楷體" w:hint="eastAsia"/>
          <w:color w:val="000000"/>
        </w:rPr>
        <w:br/>
        <w:t>三、醫院</w:t>
      </w:r>
      <w:proofErr w:type="gramStart"/>
      <w:r w:rsidRPr="00681DAC">
        <w:rPr>
          <w:rFonts w:ascii="標楷體" w:eastAsia="標楷體" w:hAnsi="標楷體" w:hint="eastAsia"/>
          <w:color w:val="000000"/>
        </w:rPr>
        <w:t>院</w:t>
      </w:r>
      <w:proofErr w:type="gramEnd"/>
      <w:r w:rsidRPr="00681DAC">
        <w:rPr>
          <w:rFonts w:ascii="標楷體" w:eastAsia="標楷體" w:hAnsi="標楷體" w:hint="eastAsia"/>
          <w:color w:val="000000"/>
        </w:rPr>
        <w:t>區。</w:t>
      </w:r>
      <w:r w:rsidRPr="00681DAC">
        <w:rPr>
          <w:rFonts w:ascii="標楷體" w:eastAsia="標楷體" w:hAnsi="標楷體" w:hint="eastAsia"/>
          <w:color w:val="000000"/>
        </w:rPr>
        <w:br/>
        <w:t>四、學校</w:t>
      </w:r>
      <w:proofErr w:type="gramStart"/>
      <w:r w:rsidRPr="00681DAC">
        <w:rPr>
          <w:rFonts w:ascii="標楷體" w:eastAsia="標楷體" w:hAnsi="標楷體" w:hint="eastAsia"/>
          <w:color w:val="000000"/>
        </w:rPr>
        <w:t>校</w:t>
      </w:r>
      <w:proofErr w:type="gramEnd"/>
      <w:r w:rsidRPr="00681DAC">
        <w:rPr>
          <w:rFonts w:ascii="標楷體" w:eastAsia="標楷體" w:hAnsi="標楷體" w:hint="eastAsia"/>
          <w:color w:val="000000"/>
        </w:rPr>
        <w:t>區。</w:t>
      </w:r>
      <w:r w:rsidRPr="00681DAC">
        <w:rPr>
          <w:rFonts w:ascii="標楷體" w:eastAsia="標楷體" w:hAnsi="標楷體" w:hint="eastAsia"/>
          <w:color w:val="000000"/>
        </w:rPr>
        <w:br/>
        <w:t>五、機場周邊一公里範圍內。</w:t>
      </w:r>
      <w:r w:rsidRPr="00681DAC">
        <w:rPr>
          <w:rFonts w:ascii="標楷體" w:eastAsia="標楷體" w:hAnsi="標楷體" w:hint="eastAsia"/>
          <w:color w:val="000000"/>
        </w:rPr>
        <w:br/>
        <w:t>六、高速公路、捷運系統、高架道路及鐵路之兩側三公尺範圍內。</w:t>
      </w:r>
      <w:r w:rsidRPr="00681DAC">
        <w:rPr>
          <w:rFonts w:ascii="標楷體" w:eastAsia="標楷體" w:hAnsi="標楷體" w:hint="eastAsia"/>
          <w:color w:val="000000"/>
        </w:rPr>
        <w:br/>
        <w:t>七、古蹟周邊二十公尺範圍內。</w:t>
      </w:r>
      <w:r w:rsidRPr="00681DAC">
        <w:rPr>
          <w:rFonts w:ascii="標楷體" w:eastAsia="標楷體" w:hAnsi="標楷體" w:hint="eastAsia"/>
          <w:color w:val="000000"/>
        </w:rPr>
        <w:br/>
        <w:t>八、其他經本府公告之區域。</w:t>
      </w:r>
      <w:r w:rsidRPr="00681DAC">
        <w:rPr>
          <w:rFonts w:ascii="標楷體" w:eastAsia="標楷體" w:hAnsi="標楷體" w:hint="eastAsia"/>
          <w:color w:val="000000"/>
        </w:rPr>
        <w:br/>
        <w:t>施放一般爆竹煙火時，應與前項各款所定場所禁止施放範圍外保持一般爆</w:t>
      </w:r>
      <w:r w:rsidRPr="00681DAC">
        <w:rPr>
          <w:rFonts w:ascii="標楷體" w:eastAsia="標楷體" w:hAnsi="標楷體" w:hint="eastAsia"/>
          <w:color w:val="000000"/>
        </w:rPr>
        <w:br/>
        <w:t>竹煙火所標示之安全距離。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4 條</w:t>
      </w:r>
      <w:r w:rsidRPr="00681DAC">
        <w:rPr>
          <w:rFonts w:ascii="標楷體" w:eastAsia="標楷體" w:hAnsi="標楷體" w:hint="eastAsia"/>
          <w:color w:val="000000"/>
        </w:rPr>
        <w:br/>
        <w:t>禁止施放之爆竹煙火種類由本府公告之。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5 條</w:t>
      </w:r>
      <w:r w:rsidRPr="00681DAC">
        <w:rPr>
          <w:rFonts w:ascii="標楷體" w:eastAsia="標楷體" w:hAnsi="標楷體" w:hint="eastAsia"/>
          <w:color w:val="000000"/>
        </w:rPr>
        <w:br/>
        <w:t>每日上午八時前及下午十時後，不得施放飛行類、升空類、</w:t>
      </w:r>
      <w:proofErr w:type="gramStart"/>
      <w:r w:rsidRPr="00681DAC">
        <w:rPr>
          <w:rFonts w:ascii="標楷體" w:eastAsia="標楷體" w:hAnsi="標楷體" w:hint="eastAsia"/>
          <w:color w:val="000000"/>
        </w:rPr>
        <w:t>摔炮類之</w:t>
      </w:r>
      <w:proofErr w:type="gramEnd"/>
      <w:r w:rsidRPr="00681DAC">
        <w:rPr>
          <w:rFonts w:ascii="標楷體" w:eastAsia="標楷體" w:hAnsi="標楷體" w:hint="eastAsia"/>
          <w:color w:val="000000"/>
        </w:rPr>
        <w:t>一般</w:t>
      </w:r>
      <w:r w:rsidRPr="00681DAC">
        <w:rPr>
          <w:rFonts w:ascii="標楷體" w:eastAsia="標楷體" w:hAnsi="標楷體" w:hint="eastAsia"/>
          <w:color w:val="000000"/>
        </w:rPr>
        <w:br/>
        <w:t>爆竹煙火。但年節或特殊節慶等經本府公告之日期，不在此限。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6 條</w:t>
      </w:r>
      <w:r w:rsidRPr="00681DAC">
        <w:rPr>
          <w:rFonts w:ascii="標楷體" w:eastAsia="標楷體" w:hAnsi="標楷體" w:hint="eastAsia"/>
          <w:color w:val="000000"/>
        </w:rPr>
        <w:br/>
        <w:t>施放爆竹煙火應依其產品使用說明方式為之。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7 條</w:t>
      </w:r>
      <w:r w:rsidRPr="00681DAC">
        <w:rPr>
          <w:rFonts w:ascii="標楷體" w:eastAsia="標楷體" w:hAnsi="標楷體" w:hint="eastAsia"/>
          <w:color w:val="000000"/>
        </w:rPr>
        <w:br/>
        <w:t>第三條及第五條所規定禁止事項，經向本府申請許可者，不在此限。</w:t>
      </w: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Fonts w:ascii="標楷體" w:eastAsia="標楷體" w:hAnsi="標楷體" w:hint="eastAsia"/>
          <w:color w:val="000000"/>
        </w:rPr>
        <w:lastRenderedPageBreak/>
        <w:t>前項許可，應於施放五日前檢具施放爆竹煙火之目的、時間、地點、數量</w:t>
      </w:r>
      <w:r w:rsidRPr="00681DAC">
        <w:rPr>
          <w:rFonts w:ascii="標楷體" w:eastAsia="標楷體" w:hAnsi="標楷體" w:hint="eastAsia"/>
          <w:color w:val="000000"/>
        </w:rPr>
        <w:br/>
        <w:t>、種類及安全防護措施等文件，向本府申請。</w:t>
      </w:r>
    </w:p>
    <w:p w:rsidR="00681DAC" w:rsidRDefault="00681DAC" w:rsidP="00681DAC">
      <w:pPr>
        <w:pStyle w:val="Web"/>
        <w:shd w:val="clear" w:color="auto" w:fill="FFFFFF"/>
        <w:rPr>
          <w:rFonts w:ascii="標楷體" w:eastAsia="標楷體" w:hAnsi="標楷體" w:hint="eastAsia"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8 條</w:t>
      </w:r>
      <w:r w:rsidRPr="00681DAC">
        <w:rPr>
          <w:rFonts w:ascii="標楷體" w:eastAsia="標楷體" w:hAnsi="標楷體" w:hint="eastAsia"/>
          <w:color w:val="000000"/>
        </w:rPr>
        <w:br/>
        <w:t>違反第三條第一項、第四條至第六條規定者，依本條例第二十九條規定處</w:t>
      </w:r>
      <w:r w:rsidRPr="00681DAC">
        <w:rPr>
          <w:rFonts w:ascii="標楷體" w:eastAsia="標楷體" w:hAnsi="標楷體" w:hint="eastAsia"/>
          <w:color w:val="000000"/>
        </w:rPr>
        <w:br/>
        <w:t>罰。</w:t>
      </w:r>
    </w:p>
    <w:p w:rsidR="00681DAC" w:rsidRPr="00681DAC" w:rsidRDefault="00681DAC" w:rsidP="00681DAC">
      <w:pPr>
        <w:pStyle w:val="Web"/>
        <w:shd w:val="clear" w:color="auto" w:fill="FFFFFF"/>
        <w:rPr>
          <w:rFonts w:ascii="標楷體" w:eastAsia="標楷體" w:hAnsi="標楷體"/>
          <w:b/>
          <w:color w:val="000000"/>
        </w:rPr>
      </w:pPr>
      <w:r w:rsidRPr="00681DAC">
        <w:rPr>
          <w:rFonts w:ascii="標楷體" w:eastAsia="標楷體" w:hAnsi="標楷體" w:hint="eastAsia"/>
          <w:color w:val="000000"/>
        </w:rPr>
        <w:br/>
      </w:r>
      <w:r w:rsidRPr="00681DAC">
        <w:rPr>
          <w:rStyle w:val="a3"/>
          <w:rFonts w:ascii="標楷體" w:eastAsia="標楷體" w:hAnsi="標楷體" w:hint="eastAsia"/>
          <w:color w:val="000000"/>
        </w:rPr>
        <w:t>第 9 條</w:t>
      </w:r>
      <w:r w:rsidRPr="00681DAC">
        <w:rPr>
          <w:rFonts w:ascii="標楷體" w:eastAsia="標楷體" w:hAnsi="標楷體" w:hint="eastAsia"/>
          <w:color w:val="000000"/>
        </w:rPr>
        <w:br/>
        <w:t>本自治條例自公布日施行。</w:t>
      </w:r>
    </w:p>
    <w:sectPr w:rsidR="00681DAC" w:rsidRPr="00681DAC" w:rsidSect="008E2B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81DAC"/>
    <w:rsid w:val="00681DAC"/>
    <w:rsid w:val="008E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B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81DA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681D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</Words>
  <Characters>467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2021-05-12T05:51:00Z</dcterms:created>
  <dcterms:modified xsi:type="dcterms:W3CDTF">2021-05-12T05:53:00Z</dcterms:modified>
</cp:coreProperties>
</file>